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自贡市局运维考核平台</w:t>
      </w:r>
      <w:r>
        <w:rPr>
          <w:rFonts w:hint="eastAsia"/>
          <w:sz w:val="44"/>
          <w:szCs w:val="44"/>
        </w:rPr>
        <w:t>技术方案</w:t>
      </w:r>
    </w:p>
    <w:p>
      <w:pPr>
        <w:jc w:val="center"/>
        <w:rPr>
          <w:sz w:val="44"/>
          <w:szCs w:val="44"/>
        </w:rPr>
      </w:pPr>
    </w:p>
    <w:tbl>
      <w:tblPr>
        <w:tblStyle w:val="17"/>
        <w:tblW w:w="5685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6"/>
        <w:gridCol w:w="1446"/>
        <w:gridCol w:w="258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4"/>
                <w:lang w:val="zh-TW" w:eastAsia="zh-TW"/>
              </w:rPr>
              <w:t>文档状态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4"/>
                <w:lang w:val="zh-TW" w:eastAsia="zh-TW"/>
              </w:rPr>
              <w:t>文档标识：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ab/>
            </w:r>
            <w:r>
              <w:rPr>
                <w:rFonts w:ascii="Arial Unicode MS" w:hAnsi="Arial Unicode MS" w:eastAsia="Arial Unicode MS" w:cs="Arial Unicode MS"/>
                <w:kern w:val="0"/>
                <w:szCs w:val="24"/>
              </w:rPr>
              <w:t>⬜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ab/>
            </w:r>
            <w:r>
              <w:rPr>
                <w:rFonts w:ascii="宋体" w:hAnsi="宋体" w:eastAsia="宋体" w:cs="宋体"/>
                <w:kern w:val="0"/>
                <w:szCs w:val="24"/>
                <w:lang w:val="zh-TW" w:eastAsia="zh-TW"/>
              </w:rPr>
              <w:t>草稿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4"/>
                <w:lang w:val="zh-TW" w:eastAsia="zh-TW"/>
              </w:rPr>
              <w:t>当前版本：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V1.0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65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ab/>
            </w:r>
            <w:r>
              <w:rPr>
                <w:rFonts w:ascii="宋体" w:hAnsi="宋体" w:eastAsia="宋体" w:cs="宋体"/>
                <w:kern w:val="0"/>
                <w:szCs w:val="24"/>
              </w:rPr>
              <w:t>■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ab/>
            </w:r>
            <w:r>
              <w:rPr>
                <w:rFonts w:ascii="宋体" w:hAnsi="宋体" w:eastAsia="宋体" w:cs="宋体"/>
                <w:kern w:val="0"/>
                <w:szCs w:val="24"/>
                <w:lang w:val="zh-TW" w:eastAsia="zh-TW"/>
              </w:rPr>
              <w:t>正式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4"/>
                <w:lang w:val="zh-TW" w:eastAsia="zh-TW"/>
              </w:rPr>
              <w:t>编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ab/>
            </w:r>
            <w:r>
              <w:rPr>
                <w:rFonts w:ascii="宋体" w:hAnsi="宋体" w:eastAsia="宋体" w:cs="宋体"/>
                <w:kern w:val="0"/>
                <w:szCs w:val="24"/>
                <w:lang w:val="zh-TW" w:eastAsia="zh-TW"/>
              </w:rPr>
              <w:t>写：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付力麒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16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ab/>
            </w:r>
            <w:r>
              <w:rPr>
                <w:rFonts w:ascii="Arial Unicode MS" w:hAnsi="Arial Unicode MS" w:eastAsia="Arial Unicode MS" w:cs="Arial Unicode MS"/>
                <w:kern w:val="0"/>
                <w:szCs w:val="24"/>
              </w:rPr>
              <w:t>⬜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ab/>
            </w:r>
            <w:r>
              <w:rPr>
                <w:rFonts w:ascii="宋体" w:hAnsi="宋体" w:eastAsia="宋体" w:cs="宋体"/>
                <w:kern w:val="0"/>
                <w:szCs w:val="24"/>
                <w:lang w:val="zh-TW" w:eastAsia="zh-TW"/>
              </w:rPr>
              <w:t>更改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4"/>
                <w:lang w:val="zh-TW" w:eastAsia="zh-TW"/>
              </w:rPr>
              <w:t>完成日期：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4"/>
              </w:rPr>
              <w:t>20</w:t>
            </w:r>
            <w:r>
              <w:rPr>
                <w:rFonts w:hint="eastAsia" w:ascii="Times New Roman" w:hAnsi="Times New Roman" w:cs="Times New Roman"/>
                <w:kern w:val="0"/>
                <w:szCs w:val="24"/>
                <w:lang w:val="en-US" w:eastAsia="zh-CN"/>
              </w:rPr>
              <w:t>24</w:t>
            </w:r>
            <w:r>
              <w:rPr>
                <w:rFonts w:ascii="宋体" w:hAnsi="宋体" w:eastAsia="宋体" w:cs="宋体"/>
                <w:kern w:val="0"/>
                <w:szCs w:val="24"/>
                <w:lang w:val="zh-TW" w:eastAsia="zh-TW"/>
              </w:rPr>
              <w:t>年</w:t>
            </w:r>
            <w:r>
              <w:rPr>
                <w:rFonts w:ascii="Times New Roman" w:hAnsi="Times New Roman" w:cs="Times New Roman"/>
                <w:kern w:val="0"/>
                <w:szCs w:val="24"/>
                <w:lang w:val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Cs w:val="24"/>
              </w:rPr>
              <w:t>1</w:t>
            </w:r>
            <w:r>
              <w:rPr>
                <w:rFonts w:ascii="宋体" w:hAnsi="宋体" w:eastAsia="宋体" w:cs="宋体"/>
                <w:kern w:val="0"/>
                <w:szCs w:val="24"/>
                <w:lang w:val="zh-TW" w:eastAsia="zh-TW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Cs w:val="24"/>
                <w:lang w:val="en-US" w:eastAsia="zh-CN"/>
              </w:rPr>
              <w:t>31</w:t>
            </w:r>
            <w:r>
              <w:rPr>
                <w:rFonts w:ascii="宋体" w:hAnsi="宋体" w:eastAsia="宋体" w:cs="宋体"/>
                <w:kern w:val="0"/>
                <w:szCs w:val="24"/>
                <w:lang w:val="zh-TW" w:eastAsia="zh-TW"/>
              </w:rPr>
              <w:t>日</w:t>
            </w:r>
          </w:p>
        </w:tc>
      </w:tr>
    </w:tbl>
    <w:p>
      <w:pPr>
        <w:jc w:val="center"/>
        <w:rPr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</w:p>
    <w:p>
      <w:pPr>
        <w:pStyle w:val="2"/>
        <w:numPr>
          <w:ilvl w:val="0"/>
          <w:numId w:val="1"/>
        </w:numPr>
      </w:pPr>
      <w:r>
        <w:rPr>
          <w:rFonts w:hint="eastAsia"/>
        </w:rPr>
        <w:t>现状</w:t>
      </w:r>
    </w:p>
    <w:p>
      <w:pPr>
        <w:ind w:firstLine="480" w:firstLineChars="200"/>
      </w:pPr>
      <w:r>
        <w:rPr>
          <w:rFonts w:hint="eastAsia"/>
          <w:lang w:val="en-US" w:eastAsia="zh-CN"/>
        </w:rPr>
        <w:t>自贡市运维考核</w:t>
      </w:r>
      <w:r>
        <w:rPr>
          <w:rFonts w:hint="eastAsia"/>
          <w:szCs w:val="28"/>
        </w:rPr>
        <w:t>平台作为</w:t>
      </w:r>
      <w:r>
        <w:rPr>
          <w:rFonts w:hint="eastAsia"/>
          <w:szCs w:val="28"/>
          <w:lang w:val="en-US" w:eastAsia="zh-CN"/>
        </w:rPr>
        <w:t>一款针对监控运维</w:t>
      </w:r>
      <w:r>
        <w:rPr>
          <w:rFonts w:hint="eastAsia"/>
          <w:szCs w:val="28"/>
        </w:rPr>
        <w:t>的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  <w:lang w:val="en-US" w:eastAsia="zh-CN"/>
        </w:rPr>
        <w:t>综合性考核平台</w:t>
      </w:r>
      <w:r>
        <w:rPr>
          <w:rFonts w:hint="eastAsia"/>
          <w:szCs w:val="28"/>
        </w:rPr>
        <w:t>，由</w:t>
      </w:r>
      <w:r>
        <w:rPr>
          <w:rFonts w:hint="eastAsia"/>
          <w:szCs w:val="28"/>
          <w:lang w:val="en-US" w:eastAsia="zh-CN"/>
        </w:rPr>
        <w:t>公安端以及运维公司端构成，公安端模块包括组织架构管理、人员及权限管理、运维单位管理、监控管理、运维管理、考核管理、核算管理，运维公司端包括运维人员管理、运维工单管理、核算管理</w:t>
      </w:r>
      <w:r>
        <w:rPr>
          <w:rFonts w:hint="eastAsia"/>
          <w:szCs w:val="28"/>
        </w:rPr>
        <w:t>。</w:t>
      </w:r>
    </w:p>
    <w:p>
      <w:pPr>
        <w:rPr>
          <w:rFonts w:hint="eastAsia"/>
        </w:rPr>
      </w:pPr>
      <w:r>
        <w:tab/>
      </w:r>
      <w:r>
        <w:rPr>
          <w:rFonts w:hint="eastAsia"/>
        </w:rPr>
        <w:t>当前</w:t>
      </w:r>
      <w:r>
        <w:rPr>
          <w:rFonts w:hint="eastAsia"/>
          <w:lang w:val="en-US" w:eastAsia="zh-CN"/>
        </w:rPr>
        <w:t>运维绩效评估</w:t>
      </w:r>
      <w:r>
        <w:rPr>
          <w:rFonts w:hint="eastAsia"/>
        </w:rPr>
        <w:t>只能通过</w:t>
      </w:r>
      <w:r>
        <w:rPr>
          <w:rFonts w:hint="eastAsia"/>
          <w:lang w:val="en-US" w:eastAsia="zh-CN"/>
        </w:rPr>
        <w:t>人工</w:t>
      </w:r>
      <w:r>
        <w:rPr>
          <w:rFonts w:hint="eastAsia"/>
        </w:rPr>
        <w:t>录入数据，用户使用不方便。</w:t>
      </w:r>
    </w:p>
    <w:p>
      <w:pPr>
        <w:pStyle w:val="2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建设目标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2.1通过api接口对接海康平台、优云平台、大华平台点位摄像头数据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2.2实现大屏展示清洗后的视频、人脸、车辆等监控数据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2.3实现后台运维异常工单处理功能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2.4 实现考核模块规则可配置以及绩效评估功能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需求</w:t>
      </w:r>
      <w:r>
        <w:rPr>
          <w:rFonts w:hint="eastAsia"/>
          <w:lang w:val="en-US" w:eastAsia="zh-CN"/>
        </w:rPr>
        <w:t>要点</w:t>
      </w:r>
    </w:p>
    <w:p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1E1F24"/>
          <w:spacing w:val="0"/>
          <w:sz w:val="24"/>
          <w:szCs w:val="24"/>
          <w:shd w:val="clear" w:fill="FFFFFF"/>
        </w:rPr>
      </w:pPr>
      <w:r>
        <w:rPr>
          <w:rFonts w:hint="eastAsia"/>
          <w:lang w:val="en-US" w:eastAsia="zh-CN"/>
        </w:rPr>
        <w:t>3.1 数据接入：可通过接口每天定时拉取第三方平台数据，或者提供第三方平台接口推送至运维平台。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</w:rPr>
        <w:t>由于数据库每天需要同步大量数据，随着时间的推移，这会对MySQL的执行效率产生影响。为了解决这个问题，可以采用MySQL的分区技术。分区技术可以将表的数据分成较小的、更易于管理的片段。通过合理地配置分区，可以提高查询性能、管理数据和维护的便利性，从而有效地应对大量数据同步带来的性能挑战</w:t>
      </w:r>
      <w:r>
        <w:rPr>
          <w:rFonts w:ascii="Segoe UI" w:hAnsi="Segoe UI" w:eastAsia="Segoe UI" w:cs="Segoe UI"/>
          <w:i w:val="0"/>
          <w:iCs w:val="0"/>
          <w:caps w:val="0"/>
          <w:color w:val="1E1F24"/>
          <w:spacing w:val="0"/>
          <w:sz w:val="24"/>
          <w:szCs w:val="24"/>
          <w:shd w:val="clear" w:fill="FFFFFF"/>
        </w:rPr>
        <w:t>。</w:t>
      </w:r>
    </w:p>
    <w:p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1E1F24"/>
          <w:spacing w:val="0"/>
          <w:sz w:val="24"/>
          <w:szCs w:val="24"/>
          <w:shd w:val="clear" w:fill="FFFFFF"/>
          <w:lang w:val="en-US" w:eastAsia="zh-CN"/>
        </w:rPr>
        <w:t>3.2 数据展示：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  <w:lang w:val="en-US" w:eastAsia="zh-CN"/>
        </w:rPr>
        <w:t>由于数据每天只同步一次，所以大屏数据展示采取前端定时get数据的方式，同时在后台提供可视化配置功能，方便后期大屏指标的扩展与维护。</w:t>
      </w:r>
    </w:p>
    <w:p>
      <w:pPr>
        <w:numPr>
          <w:ilvl w:val="0"/>
          <w:numId w:val="0"/>
        </w:numPr>
        <w:ind w:leftChars="0" w:firstLine="42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3.3 异常工单处理：采用行业内热门的工作流作为解决方案，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</w:rPr>
        <w:t>使用工作流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  <w:lang w:val="en-US" w:eastAsia="zh-CN"/>
        </w:rPr>
        <w:t>可以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</w:rPr>
        <w:t>提高业务流程执行的效率和质量。通过减少人为错误和重复劳动，工作流可以确保业务流程的准确性和一致性。此外，工作流还提供了强大的记录和监控功能，方便用户跟踪和评估业务流程的执行情况。如果需要拓展或修改流程，工作流也提供了灵活的定制选项，使用户能够快速适应业务变化。</w:t>
      </w:r>
    </w:p>
    <w:p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</w:rPr>
      </w:pPr>
      <w:r>
        <w:rPr>
          <w:rFonts w:hint="eastAsia"/>
          <w:lang w:val="en-US" w:eastAsia="zh-CN"/>
        </w:rPr>
        <w:t>3.4考核模块：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</w:rPr>
        <w:t>支持对考核规则模板进行一系列操作，包括新增、编辑、修改、删除以及停用/启用等。用户可以通过Drools引擎进行考核规则的选择，并为其设置相应的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  <w:lang w:val="en-US" w:eastAsia="zh-CN"/>
        </w:rPr>
        <w:t>评分参数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</w:rPr>
        <w:t>。此外，多个考核规则可以组成一个模板，方便批量应用和管理。</w:t>
      </w:r>
    </w:p>
    <w:p>
      <w:pPr>
        <w:ind w:firstLine="420" w:firstLineChars="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</w:rPr>
        <w:t>Drools引擎集成：通过Drools引擎，用户能够灵活地选择和配置考核规则。Drools是一个强大的业务规则管理系统，它允许非技术人员和业务专家共同参与规则的制定和修改，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  <w:lang w:val="en-US" w:eastAsia="zh-CN"/>
        </w:rPr>
        <w:t>从而提高系统灵活性和扩展性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</w:rPr>
        <w:t>。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考核分数组成:系统生成+用户手动打分。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绩效评估细则：绩效评估包括信息化应用和信息化运维</w:t>
      </w:r>
    </w:p>
    <w:p>
      <w:pPr>
        <w:ind w:firstLine="42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信息化应用（0.75分）：</w:t>
      </w:r>
    </w:p>
    <w:p>
      <w:pPr>
        <w:ind w:firstLine="456" w:firstLineChars="19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视觉计算解析率×25%+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人员聚档点位召回率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×25%+图搜点位召回率×25%+渗透应用合格率×25%</w:t>
      </w:r>
    </w:p>
    <w:p>
      <w:pPr>
        <w:ind w:firstLine="456" w:firstLineChars="19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达标线：70%</w:t>
      </w:r>
    </w:p>
    <w:p>
      <w:pPr>
        <w:ind w:firstLine="456" w:firstLineChars="19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评估方式：每月统计上报数据</w:t>
      </w:r>
    </w:p>
    <w:p>
      <w:pPr>
        <w:ind w:firstLine="456" w:firstLineChars="19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数据来源：科信总队、视觉计算中心节点数据等</w:t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ind w:firstLine="42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信息化运维（0.75分）：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天网运行率（40%）+车辆运行率（30%）+人脸运行率（30%）天网、车辆卡口、人脸卡口每日运行率取月平均值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达标线：97%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数据来源：科信总队、省厅感知源运维平台等</w:t>
      </w:r>
    </w:p>
    <w:p>
      <w:pPr>
        <w:pStyle w:val="2"/>
        <w:numPr>
          <w:ilvl w:val="0"/>
          <w:numId w:val="1"/>
        </w:numPr>
        <w:rPr>
          <w:rFonts w:hint="eastAsia"/>
        </w:rPr>
      </w:pPr>
      <w:r>
        <w:rPr>
          <w:rFonts w:hint="eastAsia"/>
          <w:lang w:val="en-US" w:eastAsia="zh-CN"/>
        </w:rPr>
        <w:t>设计准则</w:t>
      </w:r>
    </w:p>
    <w:p>
      <w:pPr>
        <w:ind w:firstLine="420"/>
        <w:rPr>
          <w:rFonts w:hint="eastAsia" w:ascii="Arial" w:hAnsi="Arial"/>
        </w:rPr>
      </w:pPr>
      <w:r>
        <w:rPr>
          <w:rFonts w:hint="eastAsia" w:ascii="Arial" w:hAnsi="Arial"/>
        </w:rPr>
        <w:t>统以技术先进、系统实用、结构合理、产品主流、低成本、低维护量作为基本建设原则，规划系统的整体构架.</w:t>
      </w:r>
    </w:p>
    <w:p>
      <w:pPr>
        <w:ind w:firstLine="420"/>
        <w:rPr>
          <w:rFonts w:hint="eastAsia" w:ascii="Arial" w:hAnsi="Arial"/>
        </w:rPr>
      </w:pPr>
      <w:r>
        <w:rPr>
          <w:rFonts w:hint="eastAsia" w:ascii="Arial" w:hAnsi="Arial"/>
          <w:b/>
          <w:bCs/>
        </w:rPr>
        <w:t>先进性</w:t>
      </w:r>
      <w:r>
        <w:rPr>
          <w:rFonts w:hint="eastAsia" w:ascii="Arial" w:hAnsi="Arial"/>
        </w:rPr>
        <w:t>：</w:t>
      </w:r>
    </w:p>
    <w:p>
      <w:pPr>
        <w:ind w:firstLine="420"/>
        <w:rPr>
          <w:rFonts w:ascii="Arial" w:hAnsi="Arial"/>
        </w:rPr>
      </w:pPr>
      <w:r>
        <w:rPr>
          <w:rFonts w:hint="eastAsia" w:ascii="Arial" w:hAnsi="Arial"/>
        </w:rPr>
        <w:t>在产品设计上，整个系统软硬件设备的设计符合高新技术的潮流，</w:t>
      </w:r>
      <w:r>
        <w:rPr>
          <w:rFonts w:hint="eastAsia" w:ascii="Arial" w:hAnsi="Arial"/>
          <w:lang w:val="en-US" w:eastAsia="zh-CN"/>
        </w:rPr>
        <w:t>规则引擎、工作量引擎</w:t>
      </w:r>
      <w:r>
        <w:rPr>
          <w:rFonts w:hint="eastAsia" w:ascii="Arial" w:hAnsi="Arial"/>
        </w:rPr>
        <w:t>等关键技术均处于领先的技术水平。在满足现期功能的前提下，系统设计具有前瞻性，在今后较长时间内保持一定的技术先进性。</w:t>
      </w:r>
    </w:p>
    <w:p>
      <w:pPr>
        <w:ind w:firstLine="420"/>
        <w:rPr>
          <w:rFonts w:hint="eastAsia" w:ascii="Arial" w:hAnsi="Arial"/>
        </w:rPr>
      </w:pPr>
      <w:r>
        <w:rPr>
          <w:rFonts w:hint="eastAsia" w:ascii="Arial" w:hAnsi="Arial"/>
          <w:b/>
          <w:bCs/>
        </w:rPr>
        <w:t>安全性</w:t>
      </w:r>
      <w:r>
        <w:rPr>
          <w:rFonts w:hint="eastAsia" w:ascii="Arial" w:hAnsi="Arial"/>
        </w:rPr>
        <w:t>：</w:t>
      </w:r>
    </w:p>
    <w:p>
      <w:pPr>
        <w:ind w:firstLine="420"/>
        <w:rPr>
          <w:rFonts w:ascii="Arial" w:hAnsi="Arial"/>
        </w:rPr>
      </w:pPr>
      <w:r>
        <w:rPr>
          <w:rFonts w:hint="eastAsia" w:ascii="Arial" w:hAnsi="Arial"/>
        </w:rPr>
        <w:t>系统采取全面的安全保护措施，对接入系统的设备和用户，进行严格的接入认证，以保证接入的安全性。系统支持对关键设备、关键数据、关键程序模块采取备份、冗余措施，有较强的容错和系统恢复能力，确保系统长期正常运行。</w:t>
      </w:r>
    </w:p>
    <w:p>
      <w:pPr>
        <w:ind w:firstLine="420"/>
        <w:rPr>
          <w:rFonts w:hint="eastAsia" w:ascii="Arial" w:hAnsi="Arial"/>
          <w:b/>
          <w:bCs/>
        </w:rPr>
      </w:pPr>
      <w:r>
        <w:rPr>
          <w:rFonts w:hint="eastAsia" w:ascii="Arial" w:hAnsi="Arial"/>
          <w:b/>
          <w:bCs/>
        </w:rPr>
        <w:t>合理性：</w:t>
      </w:r>
    </w:p>
    <w:p>
      <w:pPr>
        <w:ind w:firstLine="420"/>
        <w:rPr>
          <w:rFonts w:ascii="Arial" w:hAnsi="Arial"/>
        </w:rPr>
      </w:pPr>
      <w:r>
        <w:rPr>
          <w:rFonts w:hint="eastAsia" w:ascii="Arial" w:hAnsi="Arial"/>
        </w:rPr>
        <w:t>在系统设计时，充分考虑系统的容量及功能的扩充，方便系统扩容及平滑升级。系统对运行环境(硬件设备、软件操作系统等)具有较好的适应性，不依赖于某一特定型号计算机设备和固定版本的操作系统软件。</w:t>
      </w:r>
    </w:p>
    <w:p>
      <w:pPr>
        <w:ind w:firstLine="420"/>
        <w:rPr>
          <w:rFonts w:hint="eastAsia" w:ascii="Arial" w:hAnsi="Arial"/>
          <w:b/>
          <w:bCs/>
        </w:rPr>
      </w:pPr>
      <w:r>
        <w:rPr>
          <w:rFonts w:hint="eastAsia" w:ascii="Arial" w:hAnsi="Arial"/>
          <w:b/>
          <w:bCs/>
        </w:rPr>
        <w:t>实用性：</w:t>
      </w:r>
    </w:p>
    <w:p>
      <w:pPr>
        <w:ind w:firstLine="420"/>
        <w:rPr>
          <w:rFonts w:ascii="Arial" w:hAnsi="Arial"/>
        </w:rPr>
      </w:pPr>
      <w:r>
        <w:rPr>
          <w:rFonts w:hint="eastAsia" w:ascii="Arial" w:hAnsi="Arial"/>
        </w:rPr>
        <w:t>本系统提供清晰、简洁、友好的中文人机交互界面，操作简便、灵活、易学易用，便于管理和维护。具有公安行业风格界面和公安行业习惯操作的客户端界面。在快速操作处理突发事件上有较高的时效性，能够满足公安联网指挥的统一行动。</w:t>
      </w:r>
    </w:p>
    <w:p>
      <w:pPr>
        <w:ind w:firstLine="420"/>
        <w:rPr>
          <w:rFonts w:hint="eastAsia" w:ascii="Arial" w:hAnsi="Arial"/>
          <w:b/>
          <w:bCs/>
        </w:rPr>
      </w:pPr>
      <w:r>
        <w:rPr>
          <w:rFonts w:hint="eastAsia" w:ascii="Arial" w:hAnsi="Arial"/>
          <w:b/>
          <w:bCs/>
        </w:rPr>
        <w:t>规范性：</w:t>
      </w:r>
    </w:p>
    <w:p>
      <w:pPr>
        <w:ind w:firstLine="420"/>
        <w:rPr>
          <w:rFonts w:ascii="Arial" w:hAnsi="Arial"/>
        </w:rPr>
      </w:pPr>
      <w:r>
        <w:rPr>
          <w:rFonts w:hint="eastAsia" w:ascii="Arial" w:hAnsi="Arial"/>
        </w:rPr>
        <w:t>系统中采用的控制协议、编解码协议、接口协议、媒体文件格式、传输协议等符合国家标准、行业标准和公安部颁布的技术规范。系统具有良好的兼容性和互联互通性。</w:t>
      </w:r>
    </w:p>
    <w:p>
      <w:pPr>
        <w:ind w:firstLine="420"/>
        <w:rPr>
          <w:rFonts w:hint="eastAsia" w:ascii="Arial" w:hAnsi="Arial"/>
          <w:b/>
          <w:bCs/>
        </w:rPr>
      </w:pPr>
      <w:r>
        <w:rPr>
          <w:rFonts w:hint="eastAsia" w:ascii="Arial" w:hAnsi="Arial"/>
          <w:b/>
          <w:bCs/>
        </w:rPr>
        <w:t>可维护性：</w:t>
      </w:r>
    </w:p>
    <w:p>
      <w:pPr>
        <w:ind w:firstLine="420"/>
        <w:rPr>
          <w:rFonts w:ascii="Arial" w:hAnsi="Arial"/>
        </w:rPr>
      </w:pPr>
      <w:r>
        <w:rPr>
          <w:rFonts w:hint="eastAsia" w:ascii="Arial" w:hAnsi="Arial"/>
        </w:rPr>
        <w:t>系统操作简单，实用性高，具有易操作、易维护的特点，系统具有专业的管理维护终端，方便系统维护。并且，系统具备自检、故障诊断及故障弱化功能，在出现故障时，能得到及时、快速地进行自维护。</w:t>
      </w:r>
    </w:p>
    <w:p>
      <w:pPr>
        <w:ind w:firstLine="420"/>
        <w:rPr>
          <w:rFonts w:hint="eastAsia" w:ascii="Arial" w:hAnsi="Arial"/>
        </w:rPr>
      </w:pPr>
      <w:r>
        <w:rPr>
          <w:rFonts w:hint="eastAsia" w:ascii="Arial" w:hAnsi="Arial"/>
          <w:b/>
          <w:bCs/>
        </w:rPr>
        <w:t>开放性</w:t>
      </w:r>
      <w:r>
        <w:rPr>
          <w:rFonts w:hint="eastAsia" w:ascii="Arial" w:hAnsi="Arial"/>
        </w:rPr>
        <w:t>：</w:t>
      </w:r>
    </w:p>
    <w:p>
      <w:pPr>
        <w:ind w:firstLine="420"/>
        <w:rPr>
          <w:rFonts w:ascii="Arial" w:hAnsi="Arial"/>
        </w:rPr>
      </w:pPr>
      <w:r>
        <w:rPr>
          <w:rFonts w:hint="eastAsia" w:ascii="Arial" w:hAnsi="Arial"/>
        </w:rPr>
        <w:t>系统设计遵循开放性原则，能够支持多种硬件设备和网络系统，软硬件支持二次开发。各系统采用标准数据接口，具有与其他信息系统进行数据交换和数据共享的能力。</w:t>
      </w:r>
    </w:p>
    <w:p>
      <w:pPr>
        <w:ind w:firstLine="420"/>
        <w:rPr>
          <w:rFonts w:hint="eastAsia"/>
        </w:rPr>
      </w:pPr>
    </w:p>
    <w:p>
      <w:pPr>
        <w:rPr>
          <w:rFonts w:hint="eastAsia"/>
        </w:rPr>
      </w:pP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总体设计</w:t>
      </w:r>
    </w:p>
    <w:p>
      <w:pPr>
        <w:rPr>
          <w:rFonts w:hint="eastAsia"/>
        </w:rPr>
      </w:pPr>
      <w:r>
        <w:drawing>
          <wp:inline distT="0" distB="0" distL="114300" distR="114300">
            <wp:extent cx="5957570" cy="1586230"/>
            <wp:effectExtent l="0" t="0" r="5080" b="139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57570" cy="158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业务流程</w:t>
      </w:r>
      <w:bookmarkStart w:id="4" w:name="_GoBack"/>
      <w:bookmarkEnd w:id="4"/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420" w:firstLineChars="0"/>
        <w:jc w:val="both"/>
        <w:rPr>
          <w:rFonts w:hint="eastAsia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4"/>
          <w:szCs w:val="24"/>
          <w:shd w:val="clear" w:fill="FFFFFF"/>
        </w:rPr>
        <w:t>异常处理是本系统中的核心流程，它涉及多个环节和部门之间的紧密协同。当系统出现异常时，首先需要进行快速而准确的识别，收集相关的异常信息并推送</w:t>
      </w:r>
      <w:r>
        <w:rPr>
          <w:rFonts w:hint="eastAsia" w:ascii="Segoe UI" w:hAnsi="Segoe UI" w:eastAsia="宋体" w:cs="Segoe UI"/>
          <w:i w:val="0"/>
          <w:iCs w:val="0"/>
          <w:caps w:val="0"/>
          <w:color w:val="1E1F24"/>
          <w:spacing w:val="0"/>
          <w:sz w:val="24"/>
          <w:szCs w:val="24"/>
          <w:shd w:val="clear" w:fill="FFFFFF"/>
          <w:lang w:val="en-US" w:eastAsia="zh-CN"/>
        </w:rPr>
        <w:t>给相关运维公司</w:t>
      </w: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4"/>
          <w:szCs w:val="24"/>
          <w:shd w:val="clear" w:fill="FFFFFF"/>
        </w:rPr>
        <w:t>。在接收到异常信息后，相关部门需要进行及时的处理。在处理完异常后，需要将处理结果进行反馈和确认。同时，为了确保异常处理的完整性和准确性，还需要进行后续的监控和评估，以确保系统的稳定性和可</w:t>
      </w:r>
      <w:r>
        <w:rPr>
          <w:rFonts w:hint="eastAsia" w:ascii="Segoe UI" w:hAnsi="Segoe UI" w:eastAsia="宋体" w:cs="Segoe UI"/>
          <w:i w:val="0"/>
          <w:iCs w:val="0"/>
          <w:caps w:val="0"/>
          <w:color w:val="1E1F24"/>
          <w:spacing w:val="0"/>
          <w:sz w:val="24"/>
          <w:szCs w:val="24"/>
          <w:shd w:val="clear" w:fill="FFFFFF"/>
          <w:lang w:val="en-US" w:eastAsia="zh-CN"/>
        </w:rPr>
        <w:t>靠</w:t>
      </w:r>
      <w:r>
        <w:rPr>
          <w:rFonts w:hint="default" w:ascii="Segoe UI" w:hAnsi="Segoe UI" w:eastAsia="Segoe UI" w:cs="Segoe UI"/>
          <w:i w:val="0"/>
          <w:iCs w:val="0"/>
          <w:caps w:val="0"/>
          <w:color w:val="1E1F24"/>
          <w:spacing w:val="0"/>
          <w:sz w:val="24"/>
          <w:szCs w:val="24"/>
          <w:shd w:val="clear" w:fill="FFFFFF"/>
        </w:rPr>
        <w:t>性。</w:t>
      </w:r>
    </w:p>
    <w:p>
      <w:pPr>
        <w:rPr>
          <w:rFonts w:hint="eastAsia"/>
        </w:rPr>
      </w:pPr>
      <w:r>
        <w:drawing>
          <wp:inline distT="0" distB="0" distL="114300" distR="114300">
            <wp:extent cx="1742440" cy="5354955"/>
            <wp:effectExtent l="0" t="0" r="10160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42440" cy="535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</w:rPr>
      </w:pPr>
    </w:p>
    <w:p>
      <w:pPr>
        <w:pStyle w:val="2"/>
        <w:numPr>
          <w:ilvl w:val="0"/>
          <w:numId w:val="1"/>
        </w:numPr>
      </w:pPr>
      <w:bookmarkStart w:id="0" w:name="_Toc10"/>
      <w:r>
        <w:rPr>
          <w:rFonts w:hint="eastAsia"/>
        </w:rPr>
        <w:t>技术规范</w:t>
      </w:r>
    </w:p>
    <w:p>
      <w:pPr>
        <w:pStyle w:val="3"/>
        <w:numPr>
          <w:ilvl w:val="1"/>
          <w:numId w:val="1"/>
        </w:numPr>
        <w:bidi w:val="0"/>
        <w:ind w:left="567" w:leftChars="0" w:hanging="567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技术路线</w:t>
      </w:r>
    </w:p>
    <w:p>
      <w:pPr>
        <w:ind w:firstLine="420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整个系统采用前后端分离的B/S架构，web业务系统采用vue + elementUI控件设计，后台采用java + Spring Boot</w:t>
      </w:r>
      <w:r>
        <w:rPr>
          <w:rFonts w:hint="eastAsia" w:asciiTheme="minorEastAsia" w:hAnsiTheme="minorEastAsia" w:cstheme="minorEastAsia"/>
          <w:lang w:val="en-US" w:eastAsia="zh-CN"/>
        </w:rPr>
        <w:t>3.0</w:t>
      </w:r>
      <w:r>
        <w:rPr>
          <w:rFonts w:hint="eastAsia" w:asciiTheme="minorEastAsia" w:hAnsiTheme="minorEastAsia" w:eastAsiaTheme="minorEastAsia" w:cstheme="minorEastAsia"/>
        </w:rPr>
        <w:t>框架进行数据交互，服务器端采用目前主流的mysql</w:t>
      </w:r>
      <w:r>
        <w:rPr>
          <w:rFonts w:hint="eastAsia" w:asciiTheme="minorEastAsia" w:hAnsiTheme="minorEastAsia" w:cstheme="minorEastAsia"/>
          <w:lang w:val="en-US" w:eastAsia="zh-CN"/>
        </w:rPr>
        <w:t>8.0</w:t>
      </w:r>
      <w:r>
        <w:rPr>
          <w:rFonts w:hint="eastAsia" w:asciiTheme="minorEastAsia" w:hAnsiTheme="minorEastAsia" w:eastAsiaTheme="minorEastAsia" w:cstheme="minorEastAsia"/>
        </w:rPr>
        <w:t>数据库进行开发。</w:t>
      </w:r>
    </w:p>
    <w:p>
      <w:pPr>
        <w:pStyle w:val="3"/>
        <w:numPr>
          <w:ilvl w:val="1"/>
          <w:numId w:val="1"/>
        </w:numPr>
        <w:rPr>
          <w:rFonts w:ascii="宋体" w:hAnsi="宋体" w:eastAsia="宋体" w:cs="宋体"/>
          <w:kern w:val="0"/>
          <w:szCs w:val="24"/>
        </w:rPr>
      </w:pPr>
      <w:r>
        <w:rPr>
          <w:rFonts w:hint="eastAsia"/>
          <w:lang w:val="en-US" w:eastAsia="zh-CN"/>
        </w:rPr>
        <w:t>项目</w:t>
      </w:r>
      <w:r>
        <w:t>规范</w:t>
      </w:r>
      <w:bookmarkEnd w:id="0"/>
    </w:p>
    <w:p>
      <w:pPr>
        <w:ind w:firstLine="420"/>
      </w:pPr>
      <w:r>
        <w:rPr>
          <w:rFonts w:ascii="宋体" w:hAnsi="宋体" w:eastAsia="宋体" w:cs="宋体"/>
          <w:lang w:val="zh-TW" w:eastAsia="zh-TW"/>
        </w:rPr>
        <w:t>本服务基于</w:t>
      </w:r>
      <w:r>
        <w:t>springboot</w:t>
      </w:r>
      <w:r>
        <w:rPr>
          <w:rFonts w:ascii="宋体" w:hAnsi="宋体" w:eastAsia="宋体" w:cs="宋体"/>
          <w:lang w:val="zh-TW" w:eastAsia="zh-TW"/>
        </w:rPr>
        <w:t>开发，通过</w:t>
      </w:r>
      <w:r>
        <w:t>POM.XML</w:t>
      </w:r>
      <w:r>
        <w:rPr>
          <w:rFonts w:ascii="宋体" w:hAnsi="宋体" w:eastAsia="宋体" w:cs="宋体"/>
          <w:lang w:val="zh-TW" w:eastAsia="zh-TW"/>
        </w:rPr>
        <w:t>文件进行配置，如：</w:t>
      </w:r>
    </w:p>
    <w:p>
      <w:pPr>
        <w:widowControl/>
        <w:jc w:val="left"/>
        <w:rPr>
          <w:rFonts w:ascii="宋体" w:hAnsi="宋体" w:eastAsia="宋体" w:cs="宋体"/>
          <w:kern w:val="0"/>
          <w:szCs w:val="24"/>
        </w:rPr>
      </w:pPr>
      <w:r>
        <w:drawing>
          <wp:inline distT="0" distB="0" distL="114300" distR="114300">
            <wp:extent cx="5269230" cy="1969770"/>
            <wp:effectExtent l="0" t="0" r="7620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96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480"/>
        <w:jc w:val="left"/>
        <w:rPr>
          <w:rFonts w:ascii="宋体" w:hAnsi="宋体" w:eastAsia="宋体" w:cs="宋体"/>
          <w:kern w:val="0"/>
          <w:szCs w:val="24"/>
        </w:rPr>
      </w:pPr>
      <w:r>
        <w:rPr>
          <w:rFonts w:hint="eastAsia" w:ascii="宋体" w:hAnsi="宋体" w:eastAsia="宋体" w:cs="宋体"/>
          <w:kern w:val="0"/>
          <w:szCs w:val="24"/>
          <w:lang w:val="en-US" w:eastAsia="zh-CN"/>
        </w:rPr>
        <w:t>自贡运维考核</w:t>
      </w:r>
      <w:r>
        <w:rPr>
          <w:rFonts w:ascii="宋体" w:hAnsi="宋体" w:eastAsia="宋体" w:cs="宋体"/>
          <w:kern w:val="0"/>
          <w:szCs w:val="24"/>
          <w:lang w:val="zh-TW" w:eastAsia="zh-TW"/>
        </w:rPr>
        <w:t>路径命名</w:t>
      </w:r>
      <w:r>
        <w:rPr>
          <w:rFonts w:ascii="宋体" w:hAnsi="宋体" w:eastAsia="宋体" w:cs="宋体"/>
          <w:kern w:val="0"/>
          <w:szCs w:val="24"/>
        </w:rPr>
        <w:t>com.</w:t>
      </w:r>
      <w:r>
        <w:rPr>
          <w:rFonts w:hint="eastAsia" w:ascii="宋体" w:hAnsi="宋体" w:eastAsia="宋体" w:cs="宋体"/>
          <w:kern w:val="0"/>
          <w:szCs w:val="24"/>
          <w:lang w:val="en-US" w:eastAsia="zh-CN"/>
        </w:rPr>
        <w:t>ycl-platform</w:t>
      </w:r>
    </w:p>
    <w:p>
      <w:pPr>
        <w:widowControl/>
        <w:jc w:val="left"/>
        <w:rPr>
          <w:rFonts w:ascii="宋体" w:hAnsi="宋体" w:eastAsia="宋体" w:cs="宋体"/>
          <w:kern w:val="0"/>
          <w:szCs w:val="24"/>
        </w:rPr>
      </w:pPr>
      <w:r>
        <w:drawing>
          <wp:inline distT="0" distB="0" distL="114300" distR="114300">
            <wp:extent cx="4124325" cy="49530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宋体" w:hAnsi="宋体" w:eastAsia="宋体" w:cs="宋体"/>
          <w:kern w:val="0"/>
          <w:szCs w:val="24"/>
        </w:rPr>
      </w:pPr>
    </w:p>
    <w:p>
      <w:pPr>
        <w:pStyle w:val="3"/>
        <w:numPr>
          <w:ilvl w:val="1"/>
          <w:numId w:val="1"/>
        </w:numPr>
      </w:pPr>
      <w:bookmarkStart w:id="1" w:name="_Toc11"/>
      <w:r>
        <w:t>数据库命名规范</w:t>
      </w:r>
      <w:bookmarkEnd w:id="1"/>
    </w:p>
    <w:p>
      <w:pPr>
        <w:ind w:firstLine="420"/>
        <w:rPr>
          <w:rFonts w:ascii="宋体" w:hAnsi="宋体" w:eastAsia="宋体" w:cs="宋体"/>
          <w:lang w:val="zh-TW" w:eastAsia="zh-TW"/>
        </w:rPr>
      </w:pPr>
      <w:r>
        <w:rPr>
          <w:rFonts w:ascii="宋体" w:hAnsi="宋体" w:eastAsia="宋体" w:cs="宋体"/>
          <w:lang w:val="zh-TW" w:eastAsia="zh-TW"/>
        </w:rPr>
        <w:t>数据库表统一使用</w:t>
      </w:r>
      <w:r>
        <w:t>UTF-8</w:t>
      </w:r>
      <w:r>
        <w:rPr>
          <w:rFonts w:ascii="宋体" w:hAnsi="宋体" w:eastAsia="宋体" w:cs="宋体"/>
          <w:lang w:val="zh-TW" w:eastAsia="zh-TW"/>
        </w:rPr>
        <w:t>字符集</w:t>
      </w:r>
    </w:p>
    <w:p>
      <w:pPr>
        <w:ind w:firstLine="42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数据表统一以t_开头如</w:t>
      </w:r>
    </w:p>
    <w:p>
      <w:pPr>
        <w:ind w:firstLine="420" w:firstLineChars="0"/>
      </w:pPr>
      <w:r>
        <w:drawing>
          <wp:inline distT="0" distB="0" distL="114300" distR="114300">
            <wp:extent cx="2383790" cy="4182745"/>
            <wp:effectExtent l="0" t="0" r="1651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83790" cy="418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数据字典</w:t>
      </w:r>
    </w:p>
    <w:p>
      <w:pPr>
        <w:pStyle w:val="3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8.1 t_monitor(固定资产表)</w:t>
      </w:r>
    </w:p>
    <w:tbl>
      <w:tblPr>
        <w:tblStyle w:val="17"/>
        <w:tblW w:w="9473" w:type="dxa"/>
        <w:tblInd w:w="-307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0"/>
        <w:gridCol w:w="1704"/>
        <w:gridCol w:w="1704"/>
        <w:gridCol w:w="1704"/>
        <w:gridCol w:w="2241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字段名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数据类型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允许为空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PK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字段说明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id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 w:eastAsiaTheme="minorEastAsia"/>
                <w:kern w:val="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bigint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auto_increment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自增长主键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serial_number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varchar(50</w:t>
            </w: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0</w:t>
            </w:r>
            <w:r>
              <w:rPr>
                <w:rFonts w:ascii="Times New Roman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设备编码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name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eastAsia="宋体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设备</w:t>
            </w: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site_type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监控点位类型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mac_addr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</w:rPr>
              <w:t>摄像机Mac地址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ip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摄像机IP地址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camera_fun_type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varchar(</w:t>
            </w: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100</w:t>
            </w:r>
            <w:r>
              <w:rPr>
                <w:rFonts w:ascii="Times New Roman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摄像机功能类型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longitude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varchar(128)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设备经度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latitude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设备维度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camera_capture_are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摄像机采集区域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on_state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tinyint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设备状态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civil_code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varchar(200)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行政区域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integrated_device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tinyint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是否集成设备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camera_brand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摄像机品牌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address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安装地址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net_working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tinyint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联网属性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public_sercurity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所属辖区公安机关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installed_time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datetime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安装时间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management_unit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管理单位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mu_contact_info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管理单位联系方式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storage_days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bigint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录象保存天数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monitor_azimuth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监视方位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scene_photo_addr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摄像机场景照片URL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model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设备型号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site_vulgo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点位俗称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camera_type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摄像机类型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camera_light_type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补光属性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encoded_format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tinyint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摄像机编码格式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camera_dept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所属部门/行业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hybm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行业编码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lxbm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类型编码</w:t>
            </w:r>
          </w:p>
        </w:tc>
      </w:tr>
    </w:tbl>
    <w:p/>
    <w:p>
      <w:pPr>
        <w:pStyle w:val="3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8.2 t_task(工单表)</w:t>
      </w:r>
    </w:p>
    <w:tbl>
      <w:tblPr>
        <w:tblStyle w:val="17"/>
        <w:tblW w:w="9473" w:type="dxa"/>
        <w:tblInd w:w="-307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0"/>
        <w:gridCol w:w="1704"/>
        <w:gridCol w:w="1704"/>
        <w:gridCol w:w="1704"/>
        <w:gridCol w:w="2241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字段名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数据类型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允许为空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PK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字段说明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id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 w:eastAsiaTheme="minorEastAsia"/>
                <w:kern w:val="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bigint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auto_increment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自增长主键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operator_id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bigint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运维人员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operator_name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varchar(20)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eastAsia="宋体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运维人员姓名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operator_phone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varchar(20)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联系方式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create_date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date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</w:rPr>
              <w:t>工单生成日期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result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运维结果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dispose_time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datetime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zh-TW" w:eastAsia="zh-TW"/>
              </w:rPr>
              <w:t>运维处置时间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exception_reason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异常原因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monitor_id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bigint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  <w:t>摄像机id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state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默认0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  <w:t>工单状态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point_id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点位id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company_id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运维公司id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order_number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工单编号</w:t>
            </w:r>
          </w:p>
        </w:tc>
      </w:tr>
    </w:tbl>
    <w:p>
      <w:pPr>
        <w:pStyle w:val="3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8.3 t_site(点位表)</w:t>
      </w:r>
    </w:p>
    <w:tbl>
      <w:tblPr>
        <w:tblStyle w:val="17"/>
        <w:tblW w:w="9473" w:type="dxa"/>
        <w:tblInd w:w="-307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0"/>
        <w:gridCol w:w="1704"/>
        <w:gridCol w:w="1704"/>
        <w:gridCol w:w="1704"/>
        <w:gridCol w:w="2241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字段名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数据类型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允许为空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PK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字段说明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id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 w:eastAsiaTheme="minorEastAsia"/>
                <w:kern w:val="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bigint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auto_increment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宋体" w:hAnsi="宋体" w:eastAsia="宋体" w:cs="宋体"/>
                <w:kern w:val="0"/>
                <w:szCs w:val="20"/>
                <w:lang w:val="zh-TW" w:eastAsia="zh-TW"/>
              </w:rPr>
              <w:t>自增长主键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name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点位名称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addr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eastAsia="宋体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点位详细地址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site_type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点位类型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is_key_endpoint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Cs w:val="20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是否重点点位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site_vulgo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点位俗称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area_id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datetime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区域id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longitude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varchar(100)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cs="Times New Roman"/>
                <w:kern w:val="0"/>
                <w:szCs w:val="20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经度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latitude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bigint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维度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create_time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 w:eastAsiaTheme="minorEastAsia"/>
                <w:kern w:val="0"/>
                <w:szCs w:val="20"/>
                <w:lang w:val="en-US" w:eastAsia="zh-CN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创建时间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update_time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更新时间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company_id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运维公司id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start_time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datetime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运维开始时间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end_time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datetime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YES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运维结束时间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opeart_state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tinyint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0"/>
                <w:lang w:val="en-US" w:eastAsia="zh-CN"/>
              </w:rPr>
              <w:t>NO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Times New Roman" w:hAnsi="Times New Roman" w:cs="Times New Roman"/>
                <w:kern w:val="0"/>
                <w:szCs w:val="20"/>
                <w:lang w:val="en-US"/>
              </w:rPr>
            </w:pP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hint="default" w:ascii="宋体" w:hAnsi="宋体" w:eastAsia="宋体" w:cs="宋体"/>
                <w:kern w:val="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0"/>
                <w:lang w:val="en-US" w:eastAsia="zh-CN"/>
              </w:rPr>
              <w:t>是否有运维</w:t>
            </w:r>
          </w:p>
        </w:tc>
      </w:tr>
    </w:tbl>
    <w:p>
      <w:pPr>
        <w:ind w:left="840" w:leftChars="0" w:firstLine="420" w:firstLineChars="0"/>
        <w:rPr>
          <w:rFonts w:hint="eastAsia" w:eastAsiaTheme="minorEastAsia"/>
          <w:lang w:val="en-US" w:eastAsia="zh-CN"/>
        </w:rPr>
      </w:pPr>
    </w:p>
    <w:p>
      <w:pPr>
        <w:ind w:left="840" w:leftChars="0" w:firstLine="420" w:firstLineChars="0"/>
        <w:rPr>
          <w:rFonts w:hint="eastAsia" w:eastAsiaTheme="minorEastAsia"/>
          <w:lang w:val="en-US" w:eastAsia="zh-CN"/>
        </w:rPr>
      </w:pPr>
    </w:p>
    <w:p>
      <w:pPr>
        <w:pStyle w:val="2"/>
        <w:numPr>
          <w:ilvl w:val="0"/>
          <w:numId w:val="1"/>
        </w:numPr>
      </w:pPr>
      <w:bookmarkStart w:id="2" w:name="_Toc14"/>
      <w:r>
        <w:t>模块划分</w:t>
      </w:r>
      <w:bookmarkEnd w:id="2"/>
    </w:p>
    <w:p>
      <w:pPr>
        <w:ind w:firstLine="480" w:firstLineChars="200"/>
      </w:pPr>
      <w:bookmarkStart w:id="3" w:name="_Toc15"/>
      <w:r>
        <w:rPr>
          <w:rFonts w:hint="eastAsia"/>
          <w:lang w:val="en-US" w:eastAsia="zh-CN"/>
        </w:rPr>
        <w:t>自贡市运维考核</w:t>
      </w:r>
      <w:r>
        <w:rPr>
          <w:rFonts w:hint="eastAsia"/>
          <w:szCs w:val="28"/>
        </w:rPr>
        <w:t>平台作为</w:t>
      </w:r>
      <w:r>
        <w:rPr>
          <w:rFonts w:hint="eastAsia"/>
          <w:szCs w:val="28"/>
          <w:lang w:val="en-US" w:eastAsia="zh-CN"/>
        </w:rPr>
        <w:t>一款针对监控运维</w:t>
      </w:r>
      <w:r>
        <w:rPr>
          <w:rFonts w:hint="eastAsia"/>
          <w:szCs w:val="28"/>
        </w:rPr>
        <w:t>的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  <w:lang w:val="en-US" w:eastAsia="zh-CN"/>
        </w:rPr>
        <w:t>综合性考核平台</w:t>
      </w:r>
      <w:r>
        <w:rPr>
          <w:rFonts w:hint="eastAsia"/>
          <w:szCs w:val="28"/>
        </w:rPr>
        <w:t>，由</w:t>
      </w:r>
      <w:r>
        <w:rPr>
          <w:rFonts w:hint="eastAsia"/>
          <w:szCs w:val="28"/>
          <w:lang w:val="en-US" w:eastAsia="zh-CN"/>
        </w:rPr>
        <w:t>公安端以及运维公司端构成，公安端模块包括组织架构管理、人员及权限管理、运维单位管理、监控管理、运维管理、考核管理、核算管理，运维公司端包括运维人员管理、运维工单管理、核算管理</w:t>
      </w:r>
      <w:r>
        <w:rPr>
          <w:rFonts w:hint="eastAsia"/>
          <w:szCs w:val="28"/>
        </w:rPr>
        <w:t>。</w:t>
      </w:r>
    </w:p>
    <w:bookmarkEnd w:id="3"/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9.1 组织架构管理模块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主要包括组织机构管理和组织机构数据权限，组织机构管理可以新增、编辑、删除、修改组织机构，组织机构为3级，数据权限上级可以查看本级及所属下级数据。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9.2 人员权限管理模块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人员账号管理：</w:t>
      </w:r>
      <w:r>
        <w:rPr>
          <w:rFonts w:hint="default"/>
          <w:lang w:val="en-US" w:eastAsia="zh-CN"/>
        </w:rPr>
        <w:t>可以新增、编辑、删除、修改人员账号，可以重置密码，重置或创建账号后密码默认为：Zg_12345；创建时账号需选择组织机构及角色</w:t>
      </w:r>
      <w:r>
        <w:rPr>
          <w:rFonts w:hint="eastAsia"/>
          <w:lang w:val="en-US" w:eastAsia="zh-CN"/>
        </w:rPr>
        <w:t>。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角色管理：</w:t>
      </w:r>
      <w:r>
        <w:rPr>
          <w:rFonts w:hint="default"/>
          <w:lang w:val="en-US" w:eastAsia="zh-CN"/>
        </w:rPr>
        <w:t>可以新增、编辑、删除、修改人员角色，创建时需选择功能权限，权限到二级功能项</w:t>
      </w:r>
      <w:r>
        <w:rPr>
          <w:rFonts w:hint="eastAsia"/>
          <w:lang w:val="en-US" w:eastAsia="zh-CN"/>
        </w:rPr>
        <w:t>。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9.3 运维单位管理模块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可以新增、编辑、删除、修改改运维单位账号，可以重置密码，重置或创建账号后密码默认为：Yw_12345，密码为大写字母+小写字母+数字+符号组成，位数8~10位</w:t>
      </w: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9.4 监控管理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监控管理包含视频运行监控、人脸运行监控、车辆运行监控、异常恢复监控、运行监控报表五个功能。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视频运行监控：展示清洗后视频运行监控的数据运行情况，标记运行状态：正常、异常，异常是否生成工单，可以按照名称进行搜索，可以按照状态进行筛选，异常可查看异常原因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人脸运行监控：展示清洗后人脸运行监控的数据运行情况，标记运行状态：正常、异常，异常是否生成工单，可以按照名称进行搜索，可以按照状态进行筛选，异常可查看异常原因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车辆运行监控：展示清洗后车辆运行监控的数据运行情况，标记运行状态：正常、异常，异常是否生成工单，可以按照名称进行搜索，可以按照状态进行筛选，异常可查看异常原因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异常恢复监控</w:t>
      </w:r>
      <w:r>
        <w:rPr>
          <w:rFonts w:hint="eastAsia"/>
          <w:lang w:val="en-US" w:eastAsia="zh-CN"/>
        </w:rPr>
        <w:t>：根据对接数据，原异常问题恢复后，记录恢复情况，形成恢复异常恢复记录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运行监控报表：对运行情况进行统计，包含异常数，正常数，异常次数等，可以按照组织机构、时间进行筛选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9.5 运维管理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运维管理包含以下四个功能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一．运维工单管理：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1.运维工单管理根据异常情况生成的运维工单进行展示，包含：工单生成日期，运维单位，运维人员，运维处置时间，运维结果，运维情况，异常监测结果等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2.运维结果管理：可查看运维工单运维结果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3.运维情况监测：对运维工单、运维结果、异常恢复情况进行比较，监测运维情况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二．运维点位管理：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1.运维点位管理：设置点位的运维单位及运维起止时间，可批量设置；可按时间段进分别设置，如ABC三个点位2023年1月1日到2023年12月31日为甲运维公司，2024年1月1日到2024年12月31日为已运维公司。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2.运维到期预警：距离点位运维截止时间30天无运维公司，则进行运维即将到期预警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三．运维违约管理：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1.运维违约规则管理：设置异常运维违约规则，当运维违反规则后触发，形成违约事项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2.运维违约审核：对违约事项进行审核，判断是否按照违约责任进行处理，审核通过：生成违约责任进行触发，审核不通过：不生成违约责任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四．运维报表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对运维情况进行统计，包含工单数，恢复数，待恢复数，产生违约事项数，产生违约责任数，运维单位违约责任排名等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9.6 考核管理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考核管理包括考核规则管理、考核模板管理、考核管理三个功能。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考核规则管理：运维考核规则列表展示，可查看运维规则详情，可修改规则参数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考核模板管理：可以新增、编辑、修改、删除、停用/启用考核规则模板，新增模板，选择考核规则，设置规则评分，多个规则组成模板。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考核管理：</w:t>
      </w:r>
    </w:p>
    <w:p>
      <w:pPr>
        <w:numPr>
          <w:ilvl w:val="0"/>
          <w:numId w:val="2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考核发布：选择考核模板，设置考核范围（分局考核、市局考核），考核频率（月度考核、季度考核），进行考核发布，按照考核频率进行自动考核；考核范围为数据统计范围（所在分局点位/全部点位），考核频率为数据统计时间段</w:t>
      </w:r>
    </w:p>
    <w:p>
      <w:pPr>
        <w:numPr>
          <w:ilvl w:val="0"/>
          <w:numId w:val="2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考核结果：考核的规则进行列表展示，包含考核对象，考核频率，考核时间（月度考核展示：23年1月，23年2月…，季度考核展示：23年1季度，23年2季度...）,可以查看考核详情，可以按照考核对象，考核时间进行搜素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9.7 核算管理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核算管理包括核算规则管理、违约责任管理、违约单管理、核算记录、核算报告、核算报表六个功能。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核算规则管理：当触发违约责任，根据核算规则进行处罚，形成违约单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违约责任管理：违约事件审核通过形成的违约责任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违约单管理：展示违约处罚情况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核算记录：按照固定周期对违约单进行统计，形成核算记录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核算报告：统计核算记录，按照核算报告要求生成报告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核算报表：统计违约责任情况、处罚情况、核算记录等形成报表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9.8 运维公司端运维人员管理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人员及账号管理</w:t>
      </w:r>
      <w:r>
        <w:rPr>
          <w:rFonts w:hint="eastAsia"/>
          <w:lang w:val="en-US" w:eastAsia="zh-CN"/>
        </w:rPr>
        <w:t>：可以新增、编辑、删除、修改人员账号，可以重置密码，重置或创建账号后密码默认为：Yw_12345；创建时账号需选择组织机构及角色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9.9 运维公司端运维工单管理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运维工单管理：展示自己单位的运维工单，包含：工单生成日期，运维人员，运维处置时间，运维结果，运维情况，异常监测结果等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9.10 运维公司端核算管理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核算管理包括违约单管理、核算记录、核算报告三块功能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违约单管理：展示自己单位的违约处罚情况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核算记录：按照固定周期对自己单位的违约单进行统计，形成核算记录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核算报告：统计核算记录，按照核算报告要求生成报告</w:t>
      </w:r>
    </w:p>
    <w:p>
      <w:p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未解决问题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核对异常工单的处理流程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 w:ascii="Arial" w:hAnsi="Arial"/>
        </w:rPr>
        <w:t>服务器部署方式，是</w:t>
      </w:r>
      <w:r>
        <w:rPr>
          <w:rFonts w:hint="eastAsia" w:ascii="Arial" w:hAnsi="Arial"/>
          <w:lang w:val="en-US" w:eastAsia="zh-CN"/>
        </w:rPr>
        <w:t>两个</w:t>
      </w:r>
      <w:r>
        <w:rPr>
          <w:rFonts w:hint="eastAsia" w:ascii="Arial" w:hAnsi="Arial"/>
        </w:rPr>
        <w:t>平台部署在同一服务器，还是在不同的服务器。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E1F24"/>
          <w:spacing w:val="0"/>
          <w:sz w:val="24"/>
          <w:szCs w:val="24"/>
          <w:shd w:val="clear" w:fill="FFFFFF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Microsoft Sans Serif">
    <w:panose1 w:val="020B0604020202020204"/>
    <w:charset w:val="00"/>
    <w:family w:val="swiss"/>
    <w:pitch w:val="default"/>
    <w:sig w:usb0="E5002EFF" w:usb1="C000605B" w:usb2="00000029" w:usb3="00000000" w:csb0="200101FF" w:csb1="2028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05866282"/>
      <w:docPartObj>
        <w:docPartGallery w:val="autotext"/>
      </w:docPartObj>
    </w:sdtPr>
    <w:sdtContent>
      <w:sdt>
        <w:sdtPr>
          <w:id w:val="-1705238520"/>
          <w:docPartObj>
            <w:docPartGallery w:val="autotext"/>
          </w:docPartObj>
        </w:sdtPr>
        <w:sdtContent>
          <w:p>
            <w:pPr>
              <w:pStyle w:val="6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1E7184"/>
    <w:multiLevelType w:val="singleLevel"/>
    <w:tmpl w:val="0D1E718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1234A5C"/>
    <w:multiLevelType w:val="multilevel"/>
    <w:tmpl w:val="31234A5C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2YzMyYTk5NTFjOTViMTZmZDFmMGU1ZGRhYTM2MzgifQ=="/>
  </w:docVars>
  <w:rsids>
    <w:rsidRoot w:val="00354CBD"/>
    <w:rsid w:val="00354CBD"/>
    <w:rsid w:val="003D3D87"/>
    <w:rsid w:val="00541F01"/>
    <w:rsid w:val="0070064F"/>
    <w:rsid w:val="00731154"/>
    <w:rsid w:val="007922FB"/>
    <w:rsid w:val="0088234C"/>
    <w:rsid w:val="008D6CB0"/>
    <w:rsid w:val="00A550F9"/>
    <w:rsid w:val="00AA7733"/>
    <w:rsid w:val="00CA48DB"/>
    <w:rsid w:val="00CC6D20"/>
    <w:rsid w:val="20C813D6"/>
    <w:rsid w:val="26EF2F1C"/>
    <w:rsid w:val="285B3F92"/>
    <w:rsid w:val="32780143"/>
    <w:rsid w:val="3360045E"/>
    <w:rsid w:val="4D5D2020"/>
    <w:rsid w:val="4D8A26A2"/>
    <w:rsid w:val="50B04A39"/>
    <w:rsid w:val="5D6B5D58"/>
    <w:rsid w:val="62E04691"/>
    <w:rsid w:val="65822C01"/>
    <w:rsid w:val="668A7AA6"/>
    <w:rsid w:val="79DB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autoRedefine/>
    <w:qFormat/>
    <w:uiPriority w:val="0"/>
    <w:pPr>
      <w:keepNext/>
      <w:keepLines/>
      <w:spacing w:line="578" w:lineRule="auto"/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6"/>
    <w:autoRedefine/>
    <w:unhideWhenUsed/>
    <w:qFormat/>
    <w:uiPriority w:val="0"/>
    <w:pPr>
      <w:keepNext/>
      <w:keepLines/>
      <w:spacing w:line="416" w:lineRule="auto"/>
      <w:outlineLvl w:val="1"/>
    </w:pPr>
    <w:rPr>
      <w:rFonts w:asciiTheme="majorHAnsi" w:hAnsiTheme="majorHAnsi" w:eastAsiaTheme="majorEastAsia" w:cstheme="majorBidi"/>
      <w:b/>
      <w:bCs/>
      <w:sz w:val="28"/>
      <w:szCs w:val="32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autoRedefine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firstLine="200"/>
    </w:pPr>
    <w:rPr>
      <w:rFonts w:hint="eastAsia" w:ascii="Arial Unicode MS" w:hAnsi="Arial Unicode MS" w:eastAsia="Times New Roman" w:cs="Arial Unicode MS"/>
      <w:color w:val="000000"/>
      <w:kern w:val="0"/>
      <w:sz w:val="21"/>
      <w:szCs w:val="21"/>
      <w:u w:color="000000"/>
      <w:lang w:val="en-US" w:eastAsia="zh-CN" w:bidi="ar-SA"/>
    </w:rPr>
  </w:style>
  <w:style w:type="paragraph" w:styleId="5">
    <w:name w:val="Body Text Indent"/>
    <w:basedOn w:val="1"/>
    <w:link w:val="20"/>
    <w:autoRedefine/>
    <w:semiHidden/>
    <w:unhideWhenUsed/>
    <w:qFormat/>
    <w:uiPriority w:val="99"/>
    <w:pPr>
      <w:spacing w:after="120"/>
      <w:ind w:left="420" w:leftChars="200"/>
    </w:pPr>
  </w:style>
  <w:style w:type="paragraph" w:styleId="6">
    <w:name w:val="footer"/>
    <w:basedOn w:val="1"/>
    <w:link w:val="24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link w:val="19"/>
    <w:autoRedefine/>
    <w:qFormat/>
    <w:uiPriority w:val="0"/>
    <w:pPr>
      <w:widowControl w:val="0"/>
      <w:pBdr>
        <w:top w:val="none" w:color="auto" w:sz="0" w:space="0"/>
        <w:left w:val="none" w:color="auto" w:sz="0" w:space="0"/>
        <w:bottom w:val="single" w:color="000000" w:sz="6" w:space="0"/>
        <w:right w:val="none" w:color="auto" w:sz="0" w:space="0"/>
        <w:between w:val="none" w:color="auto" w:sz="0" w:space="0"/>
      </w:pBdr>
      <w:tabs>
        <w:tab w:val="center" w:pos="4153"/>
        <w:tab w:val="right" w:pos="8306"/>
      </w:tabs>
      <w:jc w:val="center"/>
    </w:pPr>
    <w:rPr>
      <w:rFonts w:ascii="Calibri" w:hAnsi="Calibri" w:eastAsia="Calibri" w:cs="Calibri"/>
      <w:color w:val="000000"/>
      <w:kern w:val="2"/>
      <w:sz w:val="18"/>
      <w:szCs w:val="18"/>
      <w:u w:color="000000"/>
      <w:lang w:val="en-US" w:eastAsia="zh-CN" w:bidi="ar-SA"/>
    </w:rPr>
  </w:style>
  <w:style w:type="paragraph" w:styleId="8">
    <w:name w:val="toc 1"/>
    <w:autoRedefine/>
    <w:qFormat/>
    <w:uiPriority w:val="39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left" w:pos="420"/>
        <w:tab w:val="right" w:leader="dot" w:pos="8280"/>
      </w:tabs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paragraph" w:styleId="9">
    <w:name w:val="toc 2"/>
    <w:autoRedefine/>
    <w:qFormat/>
    <w:uiPriority w:val="39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leader="dot" w:pos="8280"/>
      </w:tabs>
      <w:ind w:left="20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paragraph" w:styleId="10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 2"/>
    <w:link w:val="21"/>
    <w:autoRedefine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20"/>
      <w:ind w:left="200" w:firstLine="200"/>
      <w:jc w:val="both"/>
    </w:pPr>
    <w:rPr>
      <w:rFonts w:hint="eastAsia" w:ascii="Arial Unicode MS" w:hAnsi="Arial Unicode MS" w:eastAsia="Microsoft Sans Serif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styleId="14">
    <w:name w:val="Hyperlink"/>
    <w:autoRedefine/>
    <w:qFormat/>
    <w:uiPriority w:val="99"/>
    <w:rPr>
      <w:u w:val="single"/>
    </w:rPr>
  </w:style>
  <w:style w:type="character" w:customStyle="1" w:styleId="15">
    <w:name w:val="标题 1 字符"/>
    <w:basedOn w:val="13"/>
    <w:link w:val="2"/>
    <w:autoRedefine/>
    <w:qFormat/>
    <w:uiPriority w:val="9"/>
    <w:rPr>
      <w:b/>
      <w:bCs/>
      <w:kern w:val="44"/>
      <w:sz w:val="28"/>
      <w:szCs w:val="44"/>
    </w:rPr>
  </w:style>
  <w:style w:type="character" w:customStyle="1" w:styleId="16">
    <w:name w:val="标题 2 字符"/>
    <w:basedOn w:val="13"/>
    <w:link w:val="3"/>
    <w:autoRedefine/>
    <w:qFormat/>
    <w:uiPriority w:val="0"/>
    <w:rPr>
      <w:rFonts w:asciiTheme="majorHAnsi" w:hAnsiTheme="majorHAnsi" w:eastAsiaTheme="majorEastAsia" w:cstheme="majorBidi"/>
      <w:b/>
      <w:bCs/>
      <w:sz w:val="28"/>
      <w:szCs w:val="32"/>
    </w:rPr>
  </w:style>
  <w:style w:type="table" w:customStyle="1" w:styleId="17">
    <w:name w:val="Table Normal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页眉与页脚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Helvetica Neue" w:hAnsi="Helvetica Neue" w:eastAsia="Arial Unicode MS" w:cs="Arial Unicode MS"/>
      <w:color w:val="000000"/>
      <w:kern w:val="0"/>
      <w:sz w:val="24"/>
      <w:szCs w:val="24"/>
      <w:lang w:val="en-US" w:eastAsia="zh-CN" w:bidi="ar-SA"/>
    </w:rPr>
  </w:style>
  <w:style w:type="character" w:customStyle="1" w:styleId="19">
    <w:name w:val="页眉 字符"/>
    <w:basedOn w:val="13"/>
    <w:link w:val="7"/>
    <w:autoRedefine/>
    <w:qFormat/>
    <w:uiPriority w:val="0"/>
    <w:rPr>
      <w:rFonts w:ascii="Calibri" w:hAnsi="Calibri" w:eastAsia="Calibri" w:cs="Calibri"/>
      <w:color w:val="000000"/>
      <w:sz w:val="18"/>
      <w:szCs w:val="18"/>
      <w:u w:color="000000"/>
    </w:rPr>
  </w:style>
  <w:style w:type="character" w:customStyle="1" w:styleId="20">
    <w:name w:val="正文文本缩进 字符"/>
    <w:basedOn w:val="13"/>
    <w:link w:val="5"/>
    <w:autoRedefine/>
    <w:semiHidden/>
    <w:qFormat/>
    <w:uiPriority w:val="99"/>
    <w:rPr>
      <w:sz w:val="24"/>
    </w:rPr>
  </w:style>
  <w:style w:type="character" w:customStyle="1" w:styleId="21">
    <w:name w:val="正文首行缩进 2 字符"/>
    <w:basedOn w:val="20"/>
    <w:link w:val="11"/>
    <w:autoRedefine/>
    <w:qFormat/>
    <w:uiPriority w:val="0"/>
    <w:rPr>
      <w:rFonts w:ascii="Arial Unicode MS" w:hAnsi="Arial Unicode MS" w:eastAsia="Microsoft Sans Serif" w:cs="Arial Unicode MS"/>
      <w:color w:val="000000"/>
      <w:sz w:val="24"/>
      <w:szCs w:val="21"/>
      <w:u w:color="000000"/>
    </w:rPr>
  </w:style>
  <w:style w:type="paragraph" w:customStyle="1" w:styleId="22">
    <w:name w:val="TOC Heading"/>
    <w:next w:val="1"/>
    <w:autoRedefine/>
    <w:qFormat/>
    <w:uiPriority w:val="39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480" w:line="276" w:lineRule="auto"/>
    </w:pPr>
    <w:rPr>
      <w:rFonts w:ascii="Cambria" w:hAnsi="Cambria" w:eastAsia="Cambria" w:cs="Cambria"/>
      <w:b/>
      <w:bCs/>
      <w:color w:val="365F91"/>
      <w:kern w:val="0"/>
      <w:sz w:val="28"/>
      <w:szCs w:val="28"/>
      <w:u w:color="365F91"/>
      <w:lang w:val="en-US" w:eastAsia="zh-CN" w:bidi="ar-SA"/>
    </w:rPr>
  </w:style>
  <w:style w:type="paragraph" w:customStyle="1" w:styleId="23">
    <w:name w:val="样式 五号 行距: 1.5 倍行距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200"/>
      <w:jc w:val="both"/>
    </w:pPr>
    <w:rPr>
      <w:rFonts w:hint="eastAsia" w:ascii="Arial Unicode MS" w:hAnsi="Arial Unicode MS" w:eastAsia="Arial" w:cs="Arial Unicode MS"/>
      <w:color w:val="000000"/>
      <w:kern w:val="0"/>
      <w:sz w:val="28"/>
      <w:szCs w:val="28"/>
      <w:u w:color="000000"/>
      <w:lang w:val="en-US" w:eastAsia="zh-CN" w:bidi="ar-SA"/>
    </w:rPr>
  </w:style>
  <w:style w:type="character" w:customStyle="1" w:styleId="24">
    <w:name w:val="页脚 字符"/>
    <w:basedOn w:val="13"/>
    <w:link w:val="6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6DD1A1-0900-4B85-B95A-990C9419E7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1197</Words>
  <Characters>6823</Characters>
  <Lines>56</Lines>
  <Paragraphs>16</Paragraphs>
  <TotalTime>9</TotalTime>
  <ScaleCrop>false</ScaleCrop>
  <LinksUpToDate>false</LinksUpToDate>
  <CharactersWithSpaces>8004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2019-01-17T07:15:00Z</dcterms:created>
  <dc:creator>lee charon</dc:creator>
  <cp:lastModifiedBy>奉壹</cp:lastModifiedBy>
  <dcterms:modified xsi:type="dcterms:W3CDTF">2024-02-02T03:39:19Z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08CAD65650944F22B98D0F0B5003C7CB_13</vt:lpwstr>
  </property>
</Properties>
</file>